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Anayasa Mahkemesi (başvuru formu ve ekleriyle)</w:t>
            </w:r>
          </w:p>
          <w:p>
            <w:pPr>
              <w:spacing w:after="40"/>
            </w:pPr>
            <w:r>
              <w:rPr>
                <w:sz w:val="18"/>
              </w:rPr>
              <w:t xml:space="preserve">Süre          : Nihai kararın tebliğinden itibaren 30 gün. Başvuru harca tabidir.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ANAYASA MAHKEMESİ BAŞKANLIĞINA</w:t>
      </w:r>
    </w:p>
    <w:p>
      <w:pPr>
        <w:spacing w:after="200"/>
      </w:pPr>
      <w:r>
        <w:rPr>
          <w:b/>
        </w:rPr>
        <w:t xml:space="preserve">KONU : </w:t>
      </w:r>
      <w:r>
        <w:t xml:space="preserve">Anayasa ile güvence altına alınan temel hak ve özgürlüklerimin ihlal edildiği iddiasıyla bireysel başvurudur.</w:t>
      </w:r>
    </w:p>
    <w:p>
      <w:pPr>
        <w:spacing w:before="200" w:after="80"/>
      </w:pPr>
      <w:r>
        <w:rPr>
          <w:b/>
          <w:sz w:val="22"/>
        </w:rPr>
        <w:t xml:space="preserve">BAŞVURUCU VE BAŞVURU BİLGİLERİ</w:t>
      </w:r>
    </w:p>
    <w:p>
      <w:pPr>
        <w:spacing w:after="0"/>
      </w:pPr>
      <w:r>
        <w:t xml:space="preserve">BAŞVURUCU       : [AD SOYAD] — T.C. [KİMLİK NO]</w:t>
      </w:r>
    </w:p>
    <w:p>
      <w:pPr>
        <w:spacing w:after="0"/>
      </w:pPr>
      <w:r>
        <w:t xml:space="preserve">Adres           : [TEBLİGATA ELVERİŞLİ ADRES]</w:t>
      </w:r>
    </w:p>
    <w:p>
      <w:pPr>
        <w:spacing w:after="0"/>
      </w:pPr>
      <w:r>
        <w:t xml:space="preserve">VEKİLİ          : Av. [AD SOYAD] — [BARO / SİCİL NO]</w:t>
      </w:r>
    </w:p>
    <w:p>
      <w:pPr>
        <w:spacing w:after="0"/>
      </w:pPr>
      <w:r>
        <w:t xml:space="preserve">KAMU GÜCÜ İŞLEMİ: [ÜNİVERSİTE] / [MAHKEME] kararı</w:t>
      </w:r>
    </w:p>
    <w:p>
      <w:pPr>
        <w:spacing w:after="0"/>
      </w:pPr>
      <w:r>
        <w:t xml:space="preserve">NİHAİ KARAR     : [MAHKEME] — [ESAS/KARAR NO] — [TARİH]</w:t>
      </w:r>
    </w:p>
    <w:p>
      <w:pPr>
        <w:spacing w:after="0"/>
      </w:pPr>
      <w:r>
        <w:t xml:space="preserve">TEBLİĞ TARİHİ   : [GÜN/AY/YIL]</w:t>
      </w:r>
    </w:p>
    <w:p>
      <w:pPr>
        <w:spacing w:before="200" w:after="80"/>
      </w:pPr>
      <w:r>
        <w:rPr>
          <w:b/>
          <w:sz w:val="22"/>
        </w:rPr>
        <w:t xml:space="preserve">AÇIKLAMALAR</w:t>
      </w:r>
    </w:p>
    <w:p>
      <w:pPr>
        <w:spacing w:after="120"/>
        <w:jc w:val="both"/>
      </w:pPr>
      <w:r>
        <w:t xml:space="preserve">1. BAŞVURU YOLLARININ TÜKETİLMESİ: Başvurucu, [İŞLEM] işlemine karşı idare mahkemesinde dava açmış; istinaf ve temyiz yollarını tüketmiştir. Nihai karar [TEBLİĞ TARİHİ] tarihinde tebliğ edilmiştir; başvuru otuz günlük süre içindedir.</w:t>
      </w:r>
    </w:p>
    <w:p>
      <w:pPr>
        <w:spacing w:after="120"/>
        <w:jc w:val="both"/>
      </w:pPr>
      <w:r>
        <w:t xml:space="preserve">2. OLAY VE OLGULAR: [KRONOLOJİK ANLATIM — tarih, işlem, yargı süreci].</w:t>
      </w:r>
    </w:p>
    <w:p>
      <w:pPr>
        <w:spacing w:after="120"/>
        <w:jc w:val="both"/>
      </w:pPr>
      <w:r>
        <w:t xml:space="preserve">3. İHLAL EDİLDİĞİ İLERİ SÜRÜLEN HAKLAR: [1] Anayasa m.36 adil yargılanma hakkı (gerekçeli karar hakkı ve silahların eşitliği), [2] Anayasa m.27 bilim ve sanat hürriyeti, [3] Anayasa m.17 maddi ve manevi varlığın korunması, [4] Anayasa m.10 ile bağlantılı ayrımcılık yasağı. [dosya bazında teyit edilmelidir]</w:t>
      </w:r>
    </w:p>
    <w:p>
      <w:pPr>
        <w:spacing w:after="120"/>
        <w:jc w:val="both"/>
      </w:pPr>
      <w:r>
        <w:t xml:space="preserve">4. GEREKÇELİ KARAR HAKKI: Derece mahkemeleri, başvurucunun davanın sonucunu değiştirebilecek nitelikteki [ESASLI İDDİA] iddiasını karşılamamıştır.</w:t>
      </w:r>
    </w:p>
    <w:p>
      <w:pPr>
        <w:spacing w:after="120"/>
        <w:jc w:val="both"/>
      </w:pPr>
      <w:r>
        <w:t xml:space="preserve">5. BİLİM HÜRRİYETİ: [İŞLEM], başvurucunun akademik faaliyetini sürdürmesini fiilen imkânsız kılmakta olup, müdahale kanuni dayanaktan yoksun ve ölçüsüzdür.</w:t>
      </w:r>
    </w:p>
    <w:p>
      <w:pPr>
        <w:spacing w:after="120"/>
        <w:jc w:val="both"/>
      </w:pPr>
      <w:r>
        <w:t xml:space="preserve">6. MAĞDURİYET VE ZARAR: İhlal nedeniyle başvurucu [ZARAR] ile karşı karşıya kalmıştır; yeniden yargılama ve tazminat talep edilmektedir.</w:t>
      </w:r>
    </w:p>
    <w:p>
      <w:pPr>
        <w:spacing w:before="200" w:after="80"/>
      </w:pPr>
      <w:r>
        <w:rPr>
          <w:b/>
          <w:sz w:val="22"/>
        </w:rPr>
        <w:t xml:space="preserve">HUKUKİ DAYANAK</w:t>
      </w:r>
    </w:p>
    <w:p>
      <w:pPr>
        <w:jc w:val="both"/>
      </w:pPr>
      <w:r>
        <w:t xml:space="preserve">Anayasa m.148, 149; 6216 sayılı Anayasa Mahkemesinin Kuruluşu ve Yargılama Usulleri Hakkında Kanun m.45-51; AYM İçtüzüğü m.59 ve ekindeki başvuru formu. Başvuru resmî form üzerinden ve eksiksiz eklerle yapılmalıdır [dosya bazında teyit edilmelidir].</w:t>
      </w:r>
    </w:p>
    <w:p>
      <w:pPr>
        <w:spacing w:before="200" w:after="80"/>
      </w:pPr>
      <w:r>
        <w:rPr>
          <w:b/>
          <w:sz w:val="22"/>
        </w:rPr>
        <w:t xml:space="preserve">SONUÇ VE TALEP</w:t>
      </w:r>
    </w:p>
    <w:p>
      <w:pPr>
        <w:jc w:val="both"/>
      </w:pPr>
      <w:r>
        <w:t xml:space="preserve">Başvurunun KABUL EDİLEBİLİR OLDUĞUNA; Anayasanın 36, 27, 17 ve 10 uncu maddelerinde güvence altına alınan haklarımın İHLAL EDİLDİĞİNE; ihlalin ve sonuçlarının ortadan kaldırılması için YENİDEN YARGILAMA YAPILMASINA; [TUTAR] TL manevi tazminata ve yargılama giderlerinin ödenmesine karar verilmesini saygılarımla arz ve talep ederim.</w:t>
      </w:r>
    </w:p>
    <w:p>
      <w:pPr>
        <w:spacing w:before="200" w:after="80"/>
      </w:pPr>
      <w:r>
        <w:rPr>
          <w:b/>
          <w:sz w:val="22"/>
        </w:rPr>
        <w:t xml:space="preserve">EKLER</w:t>
      </w:r>
    </w:p>
    <w:p>
      <w:pPr>
        <w:spacing w:after="0"/>
      </w:pPr>
      <w:r>
        <w:t xml:space="preserve">1. Nihai karar ve tebliğ belgesi.</w:t>
      </w:r>
    </w:p>
    <w:p>
      <w:pPr>
        <w:spacing w:after="0"/>
      </w:pPr>
      <w:r>
        <w:t xml:space="preserve">2. İlk derece ve istinaf/temyiz kararları.</w:t>
      </w:r>
    </w:p>
    <w:p>
      <w:pPr>
        <w:spacing w:after="0"/>
      </w:pPr>
      <w:r>
        <w:t xml:space="preserve">3. Dava dilekçesi ve savunmalar.</w:t>
      </w:r>
    </w:p>
    <w:p>
      <w:pPr>
        <w:spacing w:after="0"/>
      </w:pPr>
      <w:r>
        <w:t xml:space="preserve">4. Harç makbuzu ve vekâletname.</w:t>
      </w:r>
    </w:p>
    <w:p>
      <w:r/>
    </w:p>
    <w:p>
      <w:pPr>
        <w:spacing w:after="0"/>
        <w:jc w:val="right"/>
      </w:pPr>
      <w:r>
        <w:t xml:space="preserve">Tarih : [GÜN/AY/YIL]</w:t>
      </w:r>
    </w:p>
    <w:p>
      <w:pPr>
        <w:spacing w:after="0"/>
        <w:jc w:val="right"/>
      </w:pPr>
      <w:r>
        <w:t xml:space="preserve">Başvurucu / Vekili</w:t>
      </w:r>
    </w:p>
    <w:p>
      <w:pPr>
        <w:spacing w:after="0"/>
        <w:jc w:val="right"/>
      </w:pPr>
      <w:r>
        <w:t xml:space="preserve">[AD SOYAD] — 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